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FB8" w:rsidRDefault="00486FB8" w:rsidP="00486FB8">
      <w:pPr>
        <w:pStyle w:val="a3"/>
        <w:suppressAutoHyphens/>
        <w:spacing w:before="0" w:beforeAutospacing="0" w:after="0" w:afterAutospacing="0" w:line="20" w:lineRule="atLeast"/>
        <w:ind w:firstLine="567"/>
        <w:jc w:val="right"/>
        <w:rPr>
          <w:sz w:val="28"/>
          <w:szCs w:val="28"/>
        </w:rPr>
      </w:pPr>
      <w:r>
        <w:rPr>
          <w:sz w:val="28"/>
          <w:szCs w:val="28"/>
        </w:rPr>
        <w:t>Приложение 1</w:t>
      </w:r>
      <w:r w:rsidR="00B64DA1">
        <w:rPr>
          <w:sz w:val="28"/>
          <w:szCs w:val="28"/>
        </w:rPr>
        <w:t>1</w:t>
      </w:r>
    </w:p>
    <w:p w:rsidR="00486FB8" w:rsidRDefault="00486FB8" w:rsidP="00486FB8">
      <w:pPr>
        <w:pStyle w:val="a3"/>
        <w:suppressAutoHyphens/>
        <w:spacing w:before="0" w:beforeAutospacing="0" w:after="0" w:afterAutospacing="0" w:line="20" w:lineRule="atLeast"/>
        <w:ind w:firstLine="567"/>
        <w:jc w:val="both"/>
        <w:rPr>
          <w:sz w:val="28"/>
          <w:szCs w:val="28"/>
        </w:rPr>
      </w:pPr>
    </w:p>
    <w:p w:rsidR="00486FB8" w:rsidRPr="00F10AA8" w:rsidRDefault="00486FB8" w:rsidP="00486FB8">
      <w:pPr>
        <w:pStyle w:val="a3"/>
        <w:suppressAutoHyphens/>
        <w:spacing w:before="0" w:beforeAutospacing="0" w:after="0" w:afterAutospacing="0" w:line="20" w:lineRule="atLeast"/>
        <w:ind w:firstLine="567"/>
        <w:jc w:val="center"/>
        <w:rPr>
          <w:b/>
          <w:sz w:val="28"/>
          <w:szCs w:val="28"/>
        </w:rPr>
      </w:pPr>
      <w:r w:rsidRPr="00F10AA8">
        <w:rPr>
          <w:b/>
          <w:sz w:val="28"/>
          <w:szCs w:val="28"/>
        </w:rPr>
        <w:t>Информация об объеме доходов, определяющих параметры дорожного фонда Оренбургской области</w:t>
      </w:r>
    </w:p>
    <w:p w:rsidR="00486FB8" w:rsidRPr="00FB25CD" w:rsidRDefault="00486FB8" w:rsidP="00486FB8">
      <w:pPr>
        <w:suppressAutoHyphens/>
        <w:spacing w:after="0"/>
        <w:ind w:firstLine="0"/>
        <w:jc w:val="right"/>
        <w:rPr>
          <w:rFonts w:ascii="Times New Roman" w:hAnsi="Times New Roman" w:cs="Times New Roman"/>
          <w:sz w:val="28"/>
          <w:szCs w:val="28"/>
        </w:rPr>
      </w:pPr>
      <w:r w:rsidRPr="00FB25CD">
        <w:rPr>
          <w:rFonts w:ascii="Times New Roman" w:hAnsi="Times New Roman" w:cs="Times New Roman"/>
          <w:sz w:val="28"/>
          <w:szCs w:val="28"/>
        </w:rPr>
        <w:t xml:space="preserve"> (тыс. рублей)</w:t>
      </w:r>
    </w:p>
    <w:tbl>
      <w:tblPr>
        <w:tblW w:w="15483" w:type="dxa"/>
        <w:tblInd w:w="-256" w:type="dxa"/>
        <w:tblLook w:val="04A0"/>
      </w:tblPr>
      <w:tblGrid>
        <w:gridCol w:w="11113"/>
        <w:gridCol w:w="1091"/>
        <w:gridCol w:w="1134"/>
        <w:gridCol w:w="1159"/>
        <w:gridCol w:w="986"/>
      </w:tblGrid>
      <w:tr w:rsidR="00180C45" w:rsidRPr="00CC0673" w:rsidTr="00C12821">
        <w:trPr>
          <w:trHeight w:val="20"/>
          <w:tblHeader/>
        </w:trPr>
        <w:tc>
          <w:tcPr>
            <w:tcW w:w="11113" w:type="dxa"/>
            <w:tcBorders>
              <w:top w:val="single" w:sz="4" w:space="0" w:color="808080"/>
              <w:left w:val="single" w:sz="4" w:space="0" w:color="808080"/>
              <w:bottom w:val="single" w:sz="4" w:space="0" w:color="808080"/>
              <w:right w:val="single" w:sz="4" w:space="0" w:color="808080"/>
            </w:tcBorders>
            <w:shd w:val="clear" w:color="auto" w:fill="auto"/>
            <w:tcMar>
              <w:top w:w="28" w:type="dxa"/>
              <w:left w:w="28" w:type="dxa"/>
              <w:right w:w="28" w:type="dxa"/>
            </w:tcMar>
            <w:vAlign w:val="center"/>
            <w:hideMark/>
          </w:tcPr>
          <w:p w:rsidR="00180C45" w:rsidRPr="00CC0673" w:rsidRDefault="00180C45" w:rsidP="00C128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 xml:space="preserve">Наименование вида (подвида) дохода бюджета </w:t>
            </w:r>
          </w:p>
          <w:p w:rsidR="00180C45" w:rsidRPr="00CC0673" w:rsidRDefault="00180C45" w:rsidP="00C128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(код дохода по БК)</w:t>
            </w:r>
          </w:p>
        </w:tc>
        <w:tc>
          <w:tcPr>
            <w:tcW w:w="1091" w:type="dxa"/>
            <w:tcBorders>
              <w:top w:val="single" w:sz="4" w:space="0" w:color="808080"/>
              <w:left w:val="nil"/>
              <w:bottom w:val="single" w:sz="4" w:space="0" w:color="808080"/>
              <w:right w:val="single" w:sz="4" w:space="0" w:color="808080"/>
            </w:tcBorders>
            <w:shd w:val="clear" w:color="auto" w:fill="auto"/>
            <w:tcMar>
              <w:top w:w="28" w:type="dxa"/>
              <w:left w:w="28" w:type="dxa"/>
              <w:right w:w="28" w:type="dxa"/>
            </w:tcMar>
            <w:hideMark/>
          </w:tcPr>
          <w:p w:rsidR="00180C45" w:rsidRPr="00CC0673" w:rsidRDefault="00180C45" w:rsidP="00C128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Утверждено доходов</w:t>
            </w:r>
          </w:p>
          <w:p w:rsidR="00180C45" w:rsidRPr="00CC0673" w:rsidRDefault="00180C45" w:rsidP="00C128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на 2022 год Законом о бюджете</w:t>
            </w:r>
          </w:p>
        </w:tc>
        <w:tc>
          <w:tcPr>
            <w:tcW w:w="1134" w:type="dxa"/>
            <w:tcBorders>
              <w:top w:val="single" w:sz="4" w:space="0" w:color="808080"/>
              <w:left w:val="nil"/>
              <w:bottom w:val="single" w:sz="4" w:space="0" w:color="808080"/>
              <w:right w:val="single" w:sz="4" w:space="0" w:color="808080"/>
            </w:tcBorders>
            <w:shd w:val="clear" w:color="auto" w:fill="auto"/>
            <w:tcMar>
              <w:top w:w="28" w:type="dxa"/>
              <w:left w:w="28" w:type="dxa"/>
              <w:right w:w="28" w:type="dxa"/>
            </w:tcMar>
            <w:hideMark/>
          </w:tcPr>
          <w:p w:rsidR="00180C45" w:rsidRPr="00CC0673" w:rsidRDefault="00180C45" w:rsidP="00C128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Фактически поступило</w:t>
            </w:r>
          </w:p>
          <w:p w:rsidR="00180C45" w:rsidRPr="00CC0673" w:rsidRDefault="00180C45" w:rsidP="00C128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за 2022 год (ф.0503117)</w:t>
            </w:r>
          </w:p>
        </w:tc>
        <w:tc>
          <w:tcPr>
            <w:tcW w:w="1159" w:type="dxa"/>
            <w:tcBorders>
              <w:top w:val="single" w:sz="4" w:space="0" w:color="808080"/>
              <w:left w:val="nil"/>
              <w:bottom w:val="single" w:sz="4" w:space="0" w:color="808080"/>
              <w:right w:val="single" w:sz="4" w:space="0" w:color="808080"/>
            </w:tcBorders>
            <w:shd w:val="clear" w:color="auto" w:fill="auto"/>
            <w:tcMar>
              <w:top w:w="28" w:type="dxa"/>
              <w:left w:w="28" w:type="dxa"/>
              <w:right w:w="28" w:type="dxa"/>
            </w:tcMar>
            <w:hideMark/>
          </w:tcPr>
          <w:p w:rsidR="00180C45" w:rsidRPr="00CC0673" w:rsidRDefault="00180C45" w:rsidP="00C128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Отклонение (гр3 - гр</w:t>
            </w:r>
            <w:proofErr w:type="gramStart"/>
            <w:r w:rsidRPr="00CC0673">
              <w:rPr>
                <w:rFonts w:ascii="Times New Roman" w:hAnsi="Times New Roman" w:cs="Times New Roman"/>
                <w:sz w:val="18"/>
                <w:szCs w:val="18"/>
              </w:rPr>
              <w:t>2</w:t>
            </w:r>
            <w:proofErr w:type="gramEnd"/>
            <w:r w:rsidRPr="00CC0673">
              <w:rPr>
                <w:rFonts w:ascii="Times New Roman" w:hAnsi="Times New Roman" w:cs="Times New Roman"/>
                <w:sz w:val="18"/>
                <w:szCs w:val="18"/>
              </w:rPr>
              <w:t>)</w:t>
            </w:r>
          </w:p>
        </w:tc>
        <w:tc>
          <w:tcPr>
            <w:tcW w:w="986" w:type="dxa"/>
            <w:tcBorders>
              <w:top w:val="single" w:sz="4" w:space="0" w:color="808080"/>
              <w:left w:val="nil"/>
              <w:bottom w:val="single" w:sz="4" w:space="0" w:color="808080"/>
              <w:right w:val="single" w:sz="4" w:space="0" w:color="808080"/>
            </w:tcBorders>
            <w:shd w:val="clear" w:color="auto" w:fill="auto"/>
            <w:tcMar>
              <w:top w:w="28" w:type="dxa"/>
              <w:left w:w="28" w:type="dxa"/>
              <w:right w:w="28" w:type="dxa"/>
            </w:tcMar>
            <w:hideMark/>
          </w:tcPr>
          <w:p w:rsidR="00180C45" w:rsidRPr="00CC0673" w:rsidRDefault="00180C45" w:rsidP="00C128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Процент исполнения (гр3 / гр</w:t>
            </w:r>
            <w:proofErr w:type="gramStart"/>
            <w:r w:rsidRPr="00CC0673">
              <w:rPr>
                <w:rFonts w:ascii="Times New Roman" w:hAnsi="Times New Roman" w:cs="Times New Roman"/>
                <w:sz w:val="18"/>
                <w:szCs w:val="18"/>
              </w:rPr>
              <w:t>2</w:t>
            </w:r>
            <w:proofErr w:type="gramEnd"/>
            <w:r w:rsidRPr="00CC0673">
              <w:rPr>
                <w:rFonts w:ascii="Times New Roman" w:hAnsi="Times New Roman" w:cs="Times New Roman"/>
                <w:sz w:val="18"/>
                <w:szCs w:val="18"/>
              </w:rPr>
              <w:t xml:space="preserve"> *100%)</w:t>
            </w:r>
          </w:p>
        </w:tc>
      </w:tr>
      <w:tr w:rsidR="00180C45" w:rsidRPr="00CC0673" w:rsidTr="00C12821">
        <w:trPr>
          <w:trHeight w:val="20"/>
          <w:tblHeader/>
        </w:trPr>
        <w:tc>
          <w:tcPr>
            <w:tcW w:w="11113" w:type="dxa"/>
            <w:tcBorders>
              <w:top w:val="nil"/>
              <w:left w:val="single" w:sz="4" w:space="0" w:color="808080"/>
              <w:bottom w:val="single" w:sz="4" w:space="0" w:color="808080"/>
              <w:right w:val="single" w:sz="4" w:space="0" w:color="808080"/>
            </w:tcBorders>
            <w:shd w:val="clear" w:color="auto" w:fill="auto"/>
            <w:tcMar>
              <w:top w:w="28" w:type="dxa"/>
              <w:left w:w="28" w:type="dxa"/>
              <w:right w:w="28" w:type="dxa"/>
            </w:tcMar>
            <w:vAlign w:val="center"/>
            <w:hideMark/>
          </w:tcPr>
          <w:p w:rsidR="00180C45" w:rsidRPr="006B5EE2" w:rsidRDefault="00180C45" w:rsidP="00C12821">
            <w:pPr>
              <w:widowControl w:val="0"/>
              <w:suppressAutoHyphens/>
              <w:spacing w:after="0"/>
              <w:ind w:firstLine="0"/>
              <w:jc w:val="center"/>
              <w:rPr>
                <w:rFonts w:ascii="Times New Roman" w:hAnsi="Times New Roman" w:cs="Times New Roman"/>
                <w:i/>
                <w:sz w:val="16"/>
                <w:szCs w:val="16"/>
              </w:rPr>
            </w:pPr>
            <w:r w:rsidRPr="006B5EE2">
              <w:rPr>
                <w:rFonts w:ascii="Times New Roman" w:hAnsi="Times New Roman" w:cs="Times New Roman"/>
                <w:i/>
                <w:sz w:val="16"/>
                <w:szCs w:val="16"/>
              </w:rPr>
              <w:t>1</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center"/>
            <w:hideMark/>
          </w:tcPr>
          <w:p w:rsidR="00180C45" w:rsidRPr="006B5EE2" w:rsidRDefault="00180C45" w:rsidP="00C12821">
            <w:pPr>
              <w:widowControl w:val="0"/>
              <w:suppressAutoHyphens/>
              <w:spacing w:after="0"/>
              <w:ind w:firstLine="0"/>
              <w:jc w:val="center"/>
              <w:rPr>
                <w:rFonts w:ascii="Times New Roman" w:hAnsi="Times New Roman" w:cs="Times New Roman"/>
                <w:i/>
                <w:sz w:val="16"/>
                <w:szCs w:val="16"/>
              </w:rPr>
            </w:pPr>
            <w:r w:rsidRPr="006B5EE2">
              <w:rPr>
                <w:rFonts w:ascii="Times New Roman" w:hAnsi="Times New Roman" w:cs="Times New Roman"/>
                <w:i/>
                <w:sz w:val="16"/>
                <w:szCs w:val="16"/>
              </w:rPr>
              <w:t>2</w:t>
            </w:r>
          </w:p>
        </w:tc>
        <w:tc>
          <w:tcPr>
            <w:tcW w:w="1134" w:type="dxa"/>
            <w:tcBorders>
              <w:top w:val="nil"/>
              <w:left w:val="nil"/>
              <w:bottom w:val="single" w:sz="4" w:space="0" w:color="808080"/>
              <w:right w:val="single" w:sz="4" w:space="0" w:color="808080"/>
            </w:tcBorders>
            <w:shd w:val="clear" w:color="auto" w:fill="auto"/>
            <w:tcMar>
              <w:top w:w="28" w:type="dxa"/>
              <w:left w:w="28" w:type="dxa"/>
              <w:right w:w="28" w:type="dxa"/>
            </w:tcMar>
            <w:vAlign w:val="center"/>
            <w:hideMark/>
          </w:tcPr>
          <w:p w:rsidR="00180C45" w:rsidRPr="006B5EE2" w:rsidRDefault="00180C45" w:rsidP="00C12821">
            <w:pPr>
              <w:widowControl w:val="0"/>
              <w:suppressAutoHyphens/>
              <w:spacing w:after="0"/>
              <w:ind w:firstLine="0"/>
              <w:jc w:val="center"/>
              <w:rPr>
                <w:rFonts w:ascii="Times New Roman" w:hAnsi="Times New Roman" w:cs="Times New Roman"/>
                <w:i/>
                <w:sz w:val="16"/>
                <w:szCs w:val="16"/>
              </w:rPr>
            </w:pPr>
            <w:r w:rsidRPr="006B5EE2">
              <w:rPr>
                <w:rFonts w:ascii="Times New Roman" w:hAnsi="Times New Roman" w:cs="Times New Roman"/>
                <w:i/>
                <w:sz w:val="16"/>
                <w:szCs w:val="16"/>
              </w:rPr>
              <w:t>3</w:t>
            </w:r>
          </w:p>
        </w:tc>
        <w:tc>
          <w:tcPr>
            <w:tcW w:w="1159" w:type="dxa"/>
            <w:tcBorders>
              <w:top w:val="nil"/>
              <w:left w:val="nil"/>
              <w:bottom w:val="single" w:sz="4" w:space="0" w:color="808080"/>
              <w:right w:val="single" w:sz="4" w:space="0" w:color="808080"/>
            </w:tcBorders>
            <w:shd w:val="clear" w:color="auto" w:fill="auto"/>
            <w:tcMar>
              <w:top w:w="28" w:type="dxa"/>
              <w:left w:w="28" w:type="dxa"/>
              <w:right w:w="28" w:type="dxa"/>
            </w:tcMar>
            <w:vAlign w:val="center"/>
            <w:hideMark/>
          </w:tcPr>
          <w:p w:rsidR="00180C45" w:rsidRPr="006B5EE2" w:rsidRDefault="00180C45" w:rsidP="00C12821">
            <w:pPr>
              <w:widowControl w:val="0"/>
              <w:suppressAutoHyphens/>
              <w:spacing w:after="0"/>
              <w:ind w:firstLine="0"/>
              <w:jc w:val="center"/>
              <w:rPr>
                <w:rFonts w:ascii="Times New Roman" w:hAnsi="Times New Roman" w:cs="Times New Roman"/>
                <w:i/>
                <w:sz w:val="16"/>
                <w:szCs w:val="16"/>
              </w:rPr>
            </w:pPr>
            <w:r w:rsidRPr="006B5EE2">
              <w:rPr>
                <w:rFonts w:ascii="Times New Roman" w:hAnsi="Times New Roman" w:cs="Times New Roman"/>
                <w:i/>
                <w:sz w:val="16"/>
                <w:szCs w:val="16"/>
              </w:rPr>
              <w:t>4</w:t>
            </w:r>
          </w:p>
        </w:tc>
        <w:tc>
          <w:tcPr>
            <w:tcW w:w="986" w:type="dxa"/>
            <w:tcBorders>
              <w:top w:val="nil"/>
              <w:left w:val="nil"/>
              <w:bottom w:val="single" w:sz="4" w:space="0" w:color="808080"/>
              <w:right w:val="single" w:sz="4" w:space="0" w:color="808080"/>
            </w:tcBorders>
            <w:shd w:val="clear" w:color="auto" w:fill="auto"/>
            <w:noWrap/>
            <w:tcMar>
              <w:top w:w="28" w:type="dxa"/>
              <w:left w:w="28" w:type="dxa"/>
              <w:right w:w="28" w:type="dxa"/>
            </w:tcMar>
            <w:vAlign w:val="bottom"/>
            <w:hideMark/>
          </w:tcPr>
          <w:p w:rsidR="00180C45" w:rsidRPr="006B5EE2" w:rsidRDefault="00180C45" w:rsidP="00C12821">
            <w:pPr>
              <w:widowControl w:val="0"/>
              <w:suppressAutoHyphens/>
              <w:spacing w:after="0"/>
              <w:ind w:firstLine="0"/>
              <w:jc w:val="center"/>
              <w:rPr>
                <w:rFonts w:ascii="Times New Roman" w:hAnsi="Times New Roman" w:cs="Times New Roman"/>
                <w:i/>
                <w:sz w:val="16"/>
                <w:szCs w:val="16"/>
              </w:rPr>
            </w:pPr>
            <w:r w:rsidRPr="006B5EE2">
              <w:rPr>
                <w:rFonts w:ascii="Times New Roman" w:hAnsi="Times New Roman" w:cs="Times New Roman"/>
                <w:i/>
                <w:sz w:val="16"/>
                <w:szCs w:val="16"/>
              </w:rPr>
              <w:t>5</w:t>
            </w:r>
          </w:p>
        </w:tc>
      </w:tr>
      <w:tr w:rsidR="00180C45" w:rsidRPr="00CC0673" w:rsidTr="00B64DA1">
        <w:trPr>
          <w:trHeight w:val="233"/>
        </w:trPr>
        <w:tc>
          <w:tcPr>
            <w:tcW w:w="11113" w:type="dxa"/>
            <w:tcBorders>
              <w:top w:val="nil"/>
              <w:left w:val="single" w:sz="4" w:space="0" w:color="808080"/>
              <w:bottom w:val="single" w:sz="4" w:space="0" w:color="808080"/>
              <w:right w:val="single" w:sz="4" w:space="0" w:color="808080"/>
            </w:tcBorders>
            <w:shd w:val="clear" w:color="auto" w:fill="auto"/>
            <w:tcMar>
              <w:top w:w="57" w:type="dxa"/>
              <w:left w:w="57" w:type="dxa"/>
              <w:bottom w:w="57" w:type="dxa"/>
              <w:right w:w="57" w:type="dxa"/>
            </w:tcMar>
            <w:vAlign w:val="center"/>
            <w:hideMark/>
          </w:tcPr>
          <w:p w:rsidR="00180C45" w:rsidRPr="00B64DA1" w:rsidRDefault="00180C45" w:rsidP="00C12821">
            <w:pPr>
              <w:widowControl w:val="0"/>
              <w:suppressAutoHyphens/>
              <w:spacing w:after="0"/>
              <w:ind w:firstLine="0"/>
              <w:rPr>
                <w:rFonts w:ascii="Times New Roman" w:hAnsi="Times New Roman" w:cs="Times New Roman"/>
                <w:b/>
                <w:bCs/>
                <w:sz w:val="18"/>
                <w:szCs w:val="18"/>
              </w:rPr>
            </w:pPr>
            <w:r w:rsidRPr="00B64DA1">
              <w:rPr>
                <w:rFonts w:ascii="Times New Roman" w:hAnsi="Times New Roman" w:cs="Times New Roman"/>
                <w:b/>
                <w:bCs/>
                <w:sz w:val="18"/>
                <w:szCs w:val="18"/>
              </w:rPr>
              <w:t>Собственные источники формирования дорожного фонда, в т</w:t>
            </w:r>
            <w:proofErr w:type="gramStart"/>
            <w:r w:rsidRPr="00B64DA1">
              <w:rPr>
                <w:rFonts w:ascii="Times New Roman" w:hAnsi="Times New Roman" w:cs="Times New Roman"/>
                <w:b/>
                <w:bCs/>
                <w:sz w:val="18"/>
                <w:szCs w:val="18"/>
              </w:rPr>
              <w:t>.ч</w:t>
            </w:r>
            <w:proofErr w:type="gramEnd"/>
            <w:r w:rsidRPr="00B64DA1">
              <w:rPr>
                <w:rFonts w:ascii="Times New Roman" w:hAnsi="Times New Roman" w:cs="Times New Roman"/>
                <w:b/>
                <w:bCs/>
                <w:sz w:val="18"/>
                <w:szCs w:val="18"/>
              </w:rPr>
              <w:t>:</w:t>
            </w:r>
          </w:p>
        </w:tc>
        <w:tc>
          <w:tcPr>
            <w:tcW w:w="1091" w:type="dxa"/>
            <w:tcBorders>
              <w:top w:val="nil"/>
              <w:left w:val="nil"/>
              <w:bottom w:val="single" w:sz="4" w:space="0" w:color="808080"/>
              <w:right w:val="single" w:sz="4" w:space="0" w:color="808080"/>
            </w:tcBorders>
            <w:shd w:val="clear" w:color="auto" w:fill="auto"/>
            <w:tcMar>
              <w:top w:w="57" w:type="dxa"/>
              <w:left w:w="28" w:type="dxa"/>
              <w:bottom w:w="57" w:type="dxa"/>
              <w:right w:w="28" w:type="dxa"/>
            </w:tcMar>
            <w:vAlign w:val="bottom"/>
            <w:hideMark/>
          </w:tcPr>
          <w:p w:rsidR="00180C45" w:rsidRPr="00B64DA1" w:rsidRDefault="00180C45" w:rsidP="001C6621">
            <w:pPr>
              <w:widowControl w:val="0"/>
              <w:suppressAutoHyphens/>
              <w:spacing w:after="0"/>
              <w:ind w:firstLine="0"/>
              <w:jc w:val="center"/>
              <w:rPr>
                <w:rFonts w:ascii="Times New Roman" w:hAnsi="Times New Roman" w:cs="Times New Roman"/>
                <w:b/>
                <w:bCs/>
                <w:sz w:val="18"/>
                <w:szCs w:val="18"/>
              </w:rPr>
            </w:pPr>
            <w:r w:rsidRPr="00B64DA1">
              <w:rPr>
                <w:rFonts w:ascii="Times New Roman" w:hAnsi="Times New Roman" w:cs="Times New Roman"/>
                <w:b/>
                <w:bCs/>
                <w:sz w:val="18"/>
                <w:szCs w:val="18"/>
              </w:rPr>
              <w:t>12 900 493,0</w:t>
            </w:r>
          </w:p>
        </w:tc>
        <w:tc>
          <w:tcPr>
            <w:tcW w:w="1134" w:type="dxa"/>
            <w:tcBorders>
              <w:top w:val="nil"/>
              <w:left w:val="nil"/>
              <w:bottom w:val="single" w:sz="4" w:space="0" w:color="808080"/>
              <w:right w:val="single" w:sz="4" w:space="0" w:color="808080"/>
            </w:tcBorders>
            <w:shd w:val="clear" w:color="auto" w:fill="auto"/>
            <w:tcMar>
              <w:top w:w="57" w:type="dxa"/>
              <w:left w:w="57" w:type="dxa"/>
              <w:bottom w:w="57" w:type="dxa"/>
              <w:right w:w="57" w:type="dxa"/>
            </w:tcMar>
            <w:vAlign w:val="bottom"/>
            <w:hideMark/>
          </w:tcPr>
          <w:p w:rsidR="00180C45" w:rsidRPr="00B64DA1" w:rsidRDefault="00180C45" w:rsidP="001C6621">
            <w:pPr>
              <w:widowControl w:val="0"/>
              <w:suppressAutoHyphens/>
              <w:spacing w:after="0"/>
              <w:ind w:firstLine="0"/>
              <w:jc w:val="center"/>
              <w:rPr>
                <w:rFonts w:ascii="Times New Roman" w:hAnsi="Times New Roman" w:cs="Times New Roman"/>
                <w:b/>
                <w:bCs/>
                <w:sz w:val="18"/>
                <w:szCs w:val="18"/>
              </w:rPr>
            </w:pPr>
            <w:r w:rsidRPr="00B64DA1">
              <w:rPr>
                <w:rFonts w:ascii="Times New Roman" w:hAnsi="Times New Roman" w:cs="Times New Roman"/>
                <w:b/>
                <w:bCs/>
                <w:sz w:val="18"/>
                <w:szCs w:val="18"/>
              </w:rPr>
              <w:t>13 222 984,3</w:t>
            </w:r>
          </w:p>
        </w:tc>
        <w:tc>
          <w:tcPr>
            <w:tcW w:w="1159" w:type="dxa"/>
            <w:tcBorders>
              <w:top w:val="nil"/>
              <w:left w:val="nil"/>
              <w:bottom w:val="single" w:sz="4" w:space="0" w:color="808080"/>
              <w:right w:val="single" w:sz="4" w:space="0" w:color="808080"/>
            </w:tcBorders>
            <w:shd w:val="clear" w:color="auto" w:fill="auto"/>
            <w:tcMar>
              <w:top w:w="57" w:type="dxa"/>
              <w:left w:w="57" w:type="dxa"/>
              <w:bottom w:w="57" w:type="dxa"/>
              <w:right w:w="57" w:type="dxa"/>
            </w:tcMar>
            <w:vAlign w:val="bottom"/>
            <w:hideMark/>
          </w:tcPr>
          <w:p w:rsidR="00180C45" w:rsidRPr="00B64DA1" w:rsidRDefault="00180C45" w:rsidP="001C6621">
            <w:pPr>
              <w:widowControl w:val="0"/>
              <w:suppressAutoHyphens/>
              <w:spacing w:after="0"/>
              <w:ind w:firstLine="0"/>
              <w:jc w:val="center"/>
              <w:rPr>
                <w:rFonts w:ascii="Times New Roman" w:hAnsi="Times New Roman" w:cs="Times New Roman"/>
                <w:b/>
                <w:bCs/>
                <w:sz w:val="18"/>
                <w:szCs w:val="18"/>
              </w:rPr>
            </w:pPr>
            <w:r w:rsidRPr="00B64DA1">
              <w:rPr>
                <w:rFonts w:ascii="Times New Roman" w:hAnsi="Times New Roman" w:cs="Times New Roman"/>
                <w:b/>
                <w:bCs/>
                <w:sz w:val="18"/>
                <w:szCs w:val="18"/>
              </w:rPr>
              <w:t>322 491,3</w:t>
            </w:r>
          </w:p>
        </w:tc>
        <w:tc>
          <w:tcPr>
            <w:tcW w:w="986" w:type="dxa"/>
            <w:tcBorders>
              <w:top w:val="nil"/>
              <w:left w:val="nil"/>
              <w:bottom w:val="single" w:sz="4" w:space="0" w:color="808080"/>
              <w:right w:val="single" w:sz="4" w:space="0" w:color="808080"/>
            </w:tcBorders>
            <w:shd w:val="clear" w:color="auto" w:fill="auto"/>
            <w:noWrap/>
            <w:tcMar>
              <w:top w:w="57" w:type="dxa"/>
              <w:left w:w="57" w:type="dxa"/>
              <w:bottom w:w="57" w:type="dxa"/>
              <w:right w:w="57" w:type="dxa"/>
            </w:tcMar>
            <w:vAlign w:val="bottom"/>
            <w:hideMark/>
          </w:tcPr>
          <w:p w:rsidR="00180C45" w:rsidRPr="00B64DA1" w:rsidRDefault="00180C45" w:rsidP="001C6621">
            <w:pPr>
              <w:widowControl w:val="0"/>
              <w:suppressAutoHyphens/>
              <w:spacing w:after="0"/>
              <w:ind w:firstLine="0"/>
              <w:jc w:val="center"/>
              <w:rPr>
                <w:rFonts w:ascii="Times New Roman" w:hAnsi="Times New Roman" w:cs="Times New Roman"/>
                <w:b/>
                <w:bCs/>
                <w:sz w:val="18"/>
                <w:szCs w:val="18"/>
              </w:rPr>
            </w:pPr>
            <w:r w:rsidRPr="00B64DA1">
              <w:rPr>
                <w:rFonts w:ascii="Times New Roman" w:hAnsi="Times New Roman" w:cs="Times New Roman"/>
                <w:b/>
                <w:bCs/>
                <w:sz w:val="18"/>
                <w:szCs w:val="18"/>
              </w:rPr>
              <w:t>102,5%</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РФ) (код 10302231010000110)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3 305 281,0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3 531 594,1</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226 313,1</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106,8%</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нацпроекта «БКД») (код 10302232010000110)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1 577 024,0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1 685 002,7</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107 978,7</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106,8%</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Доходы от уплаты акцизов на моторные масла для дизельных и (или) карбюраторных (</w:t>
            </w:r>
            <w:proofErr w:type="spellStart"/>
            <w:r w:rsidRPr="00CC0673">
              <w:rPr>
                <w:rFonts w:ascii="Times New Roman" w:hAnsi="Times New Roman" w:cs="Times New Roman"/>
                <w:sz w:val="18"/>
                <w:szCs w:val="18"/>
              </w:rPr>
              <w:t>инжекторных</w:t>
            </w:r>
            <w:proofErr w:type="spellEnd"/>
            <w:r w:rsidRPr="00CC0673">
              <w:rPr>
                <w:rFonts w:ascii="Times New Roman" w:hAnsi="Times New Roman" w:cs="Times New Roman"/>
                <w:sz w:val="18"/>
                <w:szCs w:val="18"/>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РФ) (код 10302241010000110)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19 267,0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19 076,1</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-190,9</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99,0%</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Доходы от уплаты акцизов на моторные масла для дизельных и (или) карбюраторных (</w:t>
            </w:r>
            <w:proofErr w:type="spellStart"/>
            <w:r w:rsidRPr="00CC0673">
              <w:rPr>
                <w:rFonts w:ascii="Times New Roman" w:hAnsi="Times New Roman" w:cs="Times New Roman"/>
                <w:sz w:val="18"/>
                <w:szCs w:val="18"/>
              </w:rPr>
              <w:t>инжекторных</w:t>
            </w:r>
            <w:proofErr w:type="spellEnd"/>
            <w:r w:rsidRPr="00CC0673">
              <w:rPr>
                <w:rFonts w:ascii="Times New Roman" w:hAnsi="Times New Roman" w:cs="Times New Roman"/>
                <w:sz w:val="18"/>
                <w:szCs w:val="18"/>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нацпроекта «</w:t>
            </w:r>
            <w:r w:rsidRPr="00CC0673">
              <w:rPr>
                <w:rFonts w:ascii="Times New Roman" w:hAnsi="Times New Roman" w:cs="Times New Roman"/>
                <w:sz w:val="16"/>
                <w:szCs w:val="16"/>
              </w:rPr>
              <w:t>БКД») (код 10302242010000110)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9 192,0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9 101,6</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-90,4</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99,0%</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РФ) (код 10302251010000110)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3 931 633,0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3 899 278,7</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-32 354,3</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99,2%</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нацпроекта «БКД») (код 10302252010000110)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1 875 870,0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1 860 433,3</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-15 436,7</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99,2%</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РФ) (код 10302261010000110)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-431 467,0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-405 176,3</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26 290,7</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93,9%</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нацпроекта «БКД») (код 10302262010000110)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-205 863,0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-193 318,7</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12 544,3</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93,9%</w:t>
            </w:r>
          </w:p>
        </w:tc>
      </w:tr>
      <w:tr w:rsidR="00180C45" w:rsidRPr="00CC0673" w:rsidTr="00B64DA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57" w:type="dxa"/>
              <w:left w:w="57" w:type="dxa"/>
              <w:bottom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i/>
                <w:sz w:val="16"/>
                <w:szCs w:val="16"/>
              </w:rPr>
            </w:pPr>
            <w:r w:rsidRPr="00CC0673">
              <w:rPr>
                <w:rFonts w:ascii="Times New Roman" w:hAnsi="Times New Roman" w:cs="Times New Roman"/>
                <w:i/>
                <w:sz w:val="16"/>
                <w:szCs w:val="16"/>
              </w:rPr>
              <w:t>Промежуточный итог – по доходам от уплаты акцизов на нефтепродукты:</w:t>
            </w:r>
          </w:p>
        </w:tc>
        <w:tc>
          <w:tcPr>
            <w:tcW w:w="1091" w:type="dxa"/>
            <w:tcBorders>
              <w:top w:val="nil"/>
              <w:left w:val="nil"/>
              <w:bottom w:val="single" w:sz="4" w:space="0" w:color="808080"/>
              <w:right w:val="single" w:sz="4" w:space="0" w:color="808080"/>
            </w:tcBorders>
            <w:shd w:val="clear" w:color="auto" w:fill="auto"/>
            <w:tcMar>
              <w:top w:w="57" w:type="dxa"/>
              <w:left w:w="28" w:type="dxa"/>
              <w:bottom w:w="57"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i/>
                <w:sz w:val="18"/>
                <w:szCs w:val="18"/>
              </w:rPr>
            </w:pPr>
            <w:r w:rsidRPr="00CC0673">
              <w:rPr>
                <w:rFonts w:ascii="Times New Roman" w:hAnsi="Times New Roman" w:cs="Times New Roman"/>
                <w:i/>
                <w:sz w:val="18"/>
                <w:szCs w:val="18"/>
              </w:rPr>
              <w:t>10 080 937,0</w:t>
            </w:r>
          </w:p>
        </w:tc>
        <w:tc>
          <w:tcPr>
            <w:tcW w:w="1134" w:type="dxa"/>
            <w:tcBorders>
              <w:top w:val="nil"/>
              <w:left w:val="nil"/>
              <w:bottom w:val="single" w:sz="4" w:space="0" w:color="808080"/>
              <w:right w:val="single" w:sz="4" w:space="0" w:color="808080"/>
            </w:tcBorders>
            <w:shd w:val="clear" w:color="auto" w:fill="auto"/>
            <w:tcMar>
              <w:top w:w="57" w:type="dxa"/>
              <w:left w:w="57" w:type="dxa"/>
              <w:bottom w:w="57"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i/>
                <w:sz w:val="18"/>
                <w:szCs w:val="18"/>
              </w:rPr>
            </w:pPr>
            <w:r w:rsidRPr="00CC0673">
              <w:rPr>
                <w:rFonts w:ascii="Times New Roman" w:hAnsi="Times New Roman" w:cs="Times New Roman"/>
                <w:i/>
                <w:sz w:val="18"/>
                <w:szCs w:val="18"/>
              </w:rPr>
              <w:t>10 405 991,5</w:t>
            </w:r>
          </w:p>
        </w:tc>
        <w:tc>
          <w:tcPr>
            <w:tcW w:w="1159" w:type="dxa"/>
            <w:tcBorders>
              <w:top w:val="nil"/>
              <w:left w:val="nil"/>
              <w:bottom w:val="single" w:sz="4" w:space="0" w:color="808080"/>
              <w:right w:val="single" w:sz="4" w:space="0" w:color="808080"/>
            </w:tcBorders>
            <w:shd w:val="clear" w:color="auto" w:fill="auto"/>
            <w:tcMar>
              <w:top w:w="57" w:type="dxa"/>
              <w:left w:w="57" w:type="dxa"/>
              <w:bottom w:w="57"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i/>
                <w:sz w:val="18"/>
                <w:szCs w:val="18"/>
              </w:rPr>
            </w:pPr>
            <w:r w:rsidRPr="00CC0673">
              <w:rPr>
                <w:rFonts w:ascii="Times New Roman" w:hAnsi="Times New Roman" w:cs="Times New Roman"/>
                <w:i/>
                <w:sz w:val="18"/>
                <w:szCs w:val="18"/>
              </w:rPr>
              <w:t>325 054,5</w:t>
            </w:r>
          </w:p>
        </w:tc>
        <w:tc>
          <w:tcPr>
            <w:tcW w:w="986" w:type="dxa"/>
            <w:tcBorders>
              <w:top w:val="nil"/>
              <w:left w:val="nil"/>
              <w:bottom w:val="single" w:sz="4" w:space="0" w:color="808080"/>
              <w:right w:val="single" w:sz="4" w:space="0" w:color="808080"/>
            </w:tcBorders>
            <w:shd w:val="clear" w:color="auto" w:fill="auto"/>
            <w:noWrap/>
            <w:tcMar>
              <w:top w:w="57" w:type="dxa"/>
              <w:left w:w="57" w:type="dxa"/>
              <w:bottom w:w="57"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i/>
                <w:sz w:val="18"/>
                <w:szCs w:val="18"/>
              </w:rPr>
            </w:pPr>
            <w:r w:rsidRPr="00CC0673">
              <w:rPr>
                <w:rFonts w:ascii="Times New Roman" w:hAnsi="Times New Roman" w:cs="Times New Roman"/>
                <w:i/>
                <w:sz w:val="18"/>
                <w:szCs w:val="18"/>
              </w:rPr>
              <w:t>103,2%</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57" w:type="dxa"/>
              <w:left w:w="57" w:type="dxa"/>
              <w:bottom w:w="28" w:type="dxa"/>
              <w:right w:w="57" w:type="dxa"/>
            </w:tcMar>
            <w:vAlign w:val="cente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Транспортный налог (код 10604000020000110)</w:t>
            </w:r>
          </w:p>
        </w:tc>
        <w:tc>
          <w:tcPr>
            <w:tcW w:w="1091" w:type="dxa"/>
            <w:tcBorders>
              <w:top w:val="nil"/>
              <w:left w:val="nil"/>
              <w:bottom w:val="single" w:sz="4" w:space="0" w:color="808080"/>
              <w:right w:val="single" w:sz="4" w:space="0" w:color="808080"/>
            </w:tcBorders>
            <w:shd w:val="clear" w:color="auto" w:fill="auto"/>
            <w:tcMar>
              <w:top w:w="57" w:type="dxa"/>
              <w:left w:w="28" w:type="dxa"/>
              <w:bottom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1 486 947,0</w:t>
            </w:r>
          </w:p>
        </w:tc>
        <w:tc>
          <w:tcPr>
            <w:tcW w:w="1134" w:type="dxa"/>
            <w:tcBorders>
              <w:top w:val="nil"/>
              <w:left w:val="nil"/>
              <w:bottom w:val="single" w:sz="4" w:space="0" w:color="808080"/>
              <w:right w:val="single" w:sz="4" w:space="0" w:color="808080"/>
            </w:tcBorders>
            <w:shd w:val="clear" w:color="auto" w:fill="auto"/>
            <w:tcMar>
              <w:top w:w="57" w:type="dxa"/>
              <w:left w:w="57" w:type="dxa"/>
              <w:bottom w:w="28"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1 512 690,2</w:t>
            </w:r>
          </w:p>
        </w:tc>
        <w:tc>
          <w:tcPr>
            <w:tcW w:w="1159" w:type="dxa"/>
            <w:tcBorders>
              <w:top w:val="nil"/>
              <w:left w:val="nil"/>
              <w:bottom w:val="single" w:sz="4" w:space="0" w:color="808080"/>
              <w:right w:val="single" w:sz="4" w:space="0" w:color="808080"/>
            </w:tcBorders>
            <w:shd w:val="clear" w:color="auto" w:fill="auto"/>
            <w:tcMar>
              <w:top w:w="57" w:type="dxa"/>
              <w:left w:w="57" w:type="dxa"/>
              <w:bottom w:w="28"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25 743,2</w:t>
            </w:r>
          </w:p>
        </w:tc>
        <w:tc>
          <w:tcPr>
            <w:tcW w:w="986" w:type="dxa"/>
            <w:tcBorders>
              <w:top w:val="nil"/>
              <w:left w:val="nil"/>
              <w:bottom w:val="single" w:sz="4" w:space="0" w:color="808080"/>
              <w:right w:val="single" w:sz="4" w:space="0" w:color="808080"/>
            </w:tcBorders>
            <w:shd w:val="clear" w:color="auto" w:fill="auto"/>
            <w:noWrap/>
            <w:tcMar>
              <w:top w:w="57" w:type="dxa"/>
              <w:left w:w="57" w:type="dxa"/>
              <w:bottom w:w="28"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101,7%</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lastRenderedPageBreak/>
              <w:t>Государственная пошлина за выдачу органом исполнительной власти субъекта РФ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РФ (код 10807172010000110)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2 427,0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2 742,6</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315,6</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113,0%</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 xml:space="preserve">Доходы от эксплуатации и использования </w:t>
            </w:r>
            <w:proofErr w:type="gramStart"/>
            <w:r w:rsidRPr="00CC0673">
              <w:rPr>
                <w:rFonts w:ascii="Times New Roman" w:hAnsi="Times New Roman" w:cs="Times New Roman"/>
                <w:sz w:val="18"/>
                <w:szCs w:val="18"/>
              </w:rPr>
              <w:t>имущества</w:t>
            </w:r>
            <w:proofErr w:type="gramEnd"/>
            <w:r w:rsidRPr="00CC0673">
              <w:rPr>
                <w:rFonts w:ascii="Times New Roman" w:hAnsi="Times New Roman" w:cs="Times New Roman"/>
                <w:sz w:val="18"/>
                <w:szCs w:val="18"/>
              </w:rPr>
              <w:t xml:space="preserve"> автомобильных дорог, находящихся в собственности субъектов Российской Федерации (код 11109032020000120)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44 307,0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46 052,6</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1 745,6</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103,9%</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 (код 11301520020000130)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21,2</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21,2</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 xml:space="preserve">Административные штрафы, установленные Главой 12 </w:t>
            </w:r>
            <w:proofErr w:type="spellStart"/>
            <w:r w:rsidRPr="00CC0673">
              <w:rPr>
                <w:rFonts w:ascii="Times New Roman" w:hAnsi="Times New Roman" w:cs="Times New Roman"/>
                <w:sz w:val="18"/>
                <w:szCs w:val="18"/>
              </w:rPr>
              <w:t>КоАП</w:t>
            </w:r>
            <w:proofErr w:type="spellEnd"/>
            <w:r w:rsidRPr="00CC0673">
              <w:rPr>
                <w:rFonts w:ascii="Times New Roman" w:hAnsi="Times New Roman" w:cs="Times New Roman"/>
                <w:sz w:val="18"/>
                <w:szCs w:val="18"/>
              </w:rPr>
              <w:t xml:space="preserve"> РФ в области дорожного движения (код 11601120010000140)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1 283 912,0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1 252 882,8</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-31 029,2</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97,6%</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proofErr w:type="gramStart"/>
            <w:r w:rsidRPr="00CC0673">
              <w:rPr>
                <w:rFonts w:ascii="Times New Roman" w:hAnsi="Times New Roman" w:cs="Times New Roman"/>
                <w:sz w:val="18"/>
                <w:szCs w:val="18"/>
              </w:rPr>
              <w:t>Платежи в целях возмещения убытков, причиненных уклонением от заключения с государственным органом субъекта РФ (казенным учреждением субъекта РФ) государственного контракта, финансируемого за счет средств дорожного фонда субъекта РФ,          а также иные денежные средства, подлежащие зачислению в бюджет субъекта РФ за нарушение законодательства РФ о контрактной системе в сфере закупок товаров, работ, услуг для обеспечения государственных и муниципальных нужд (код 11610057020000140)</w:t>
            </w:r>
            <w:proofErr w:type="gramEnd"/>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1 963,0</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2 603,4</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640,4</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132,6%</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 xml:space="preserve">Платежи в целях возмещения ущерба при расторжении </w:t>
            </w:r>
            <w:proofErr w:type="spellStart"/>
            <w:proofErr w:type="gramStart"/>
            <w:r w:rsidRPr="00CC0673">
              <w:rPr>
                <w:rFonts w:ascii="Times New Roman" w:hAnsi="Times New Roman" w:cs="Times New Roman"/>
                <w:sz w:val="18"/>
                <w:szCs w:val="18"/>
              </w:rPr>
              <w:t>государст-венного</w:t>
            </w:r>
            <w:proofErr w:type="spellEnd"/>
            <w:proofErr w:type="gramEnd"/>
            <w:r w:rsidRPr="00CC0673">
              <w:rPr>
                <w:rFonts w:ascii="Times New Roman" w:hAnsi="Times New Roman" w:cs="Times New Roman"/>
                <w:sz w:val="18"/>
                <w:szCs w:val="18"/>
              </w:rPr>
              <w:t xml:space="preserve"> контракта, финансируемого за счет средств дорожного фонда субъекта РФ, в связи с односторонним отказом исполнителя (подрядчика) от его исполнения (код 11610077020000140)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0,0</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 xml:space="preserve">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w:t>
            </w:r>
            <w:proofErr w:type="gramStart"/>
            <w:r w:rsidRPr="00CC0673">
              <w:rPr>
                <w:rFonts w:ascii="Times New Roman" w:hAnsi="Times New Roman" w:cs="Times New Roman"/>
                <w:sz w:val="18"/>
                <w:szCs w:val="18"/>
              </w:rPr>
              <w:t>и(</w:t>
            </w:r>
            <w:proofErr w:type="gramEnd"/>
            <w:r w:rsidRPr="00CC0673">
              <w:rPr>
                <w:rFonts w:ascii="Times New Roman" w:hAnsi="Times New Roman" w:cs="Times New Roman"/>
                <w:sz w:val="18"/>
                <w:szCs w:val="18"/>
              </w:rPr>
              <w:t xml:space="preserve">или) крупногабаритных </w:t>
            </w:r>
            <w:r w:rsidRPr="00CC0673">
              <w:rPr>
                <w:rFonts w:ascii="Times New Roman" w:hAnsi="Times New Roman" w:cs="Times New Roman"/>
                <w:sz w:val="16"/>
                <w:szCs w:val="16"/>
              </w:rPr>
              <w:t>грузов (код 11611063010000140)</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0,0</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w:t>
            </w:r>
          </w:p>
        </w:tc>
      </w:tr>
      <w:tr w:rsidR="00180C45" w:rsidRPr="00CC0673" w:rsidTr="00B64DA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57" w:type="dxa"/>
              <w:left w:w="57" w:type="dxa"/>
              <w:bottom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i/>
                <w:sz w:val="18"/>
                <w:szCs w:val="18"/>
              </w:rPr>
            </w:pPr>
            <w:r w:rsidRPr="00CC0673">
              <w:rPr>
                <w:rFonts w:ascii="Times New Roman" w:hAnsi="Times New Roman" w:cs="Times New Roman"/>
                <w:i/>
                <w:sz w:val="18"/>
                <w:szCs w:val="18"/>
              </w:rPr>
              <w:t>Промежуточный итог –  по налоговым и неналоговым доходам:</w:t>
            </w:r>
          </w:p>
        </w:tc>
        <w:tc>
          <w:tcPr>
            <w:tcW w:w="1091" w:type="dxa"/>
            <w:tcBorders>
              <w:top w:val="nil"/>
              <w:left w:val="nil"/>
              <w:bottom w:val="single" w:sz="4" w:space="0" w:color="808080"/>
              <w:right w:val="single" w:sz="4" w:space="0" w:color="808080"/>
            </w:tcBorders>
            <w:shd w:val="clear" w:color="auto" w:fill="auto"/>
            <w:tcMar>
              <w:top w:w="57" w:type="dxa"/>
              <w:left w:w="28" w:type="dxa"/>
              <w:bottom w:w="57"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i/>
                <w:sz w:val="18"/>
                <w:szCs w:val="18"/>
              </w:rPr>
            </w:pPr>
            <w:r w:rsidRPr="00CC0673">
              <w:rPr>
                <w:rFonts w:ascii="Times New Roman" w:hAnsi="Times New Roman" w:cs="Times New Roman"/>
                <w:i/>
                <w:sz w:val="18"/>
                <w:szCs w:val="18"/>
              </w:rPr>
              <w:t>2 819 556,0</w:t>
            </w:r>
          </w:p>
        </w:tc>
        <w:tc>
          <w:tcPr>
            <w:tcW w:w="1134" w:type="dxa"/>
            <w:tcBorders>
              <w:top w:val="nil"/>
              <w:left w:val="nil"/>
              <w:bottom w:val="single" w:sz="4" w:space="0" w:color="808080"/>
              <w:right w:val="single" w:sz="4" w:space="0" w:color="808080"/>
            </w:tcBorders>
            <w:shd w:val="clear" w:color="auto" w:fill="auto"/>
            <w:tcMar>
              <w:top w:w="57" w:type="dxa"/>
              <w:left w:w="57" w:type="dxa"/>
              <w:bottom w:w="57"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i/>
                <w:sz w:val="18"/>
                <w:szCs w:val="18"/>
              </w:rPr>
            </w:pPr>
            <w:r w:rsidRPr="00CC0673">
              <w:rPr>
                <w:rFonts w:ascii="Times New Roman" w:hAnsi="Times New Roman" w:cs="Times New Roman"/>
                <w:i/>
                <w:sz w:val="18"/>
                <w:szCs w:val="18"/>
              </w:rPr>
              <w:t>2 816 992,8</w:t>
            </w:r>
          </w:p>
        </w:tc>
        <w:tc>
          <w:tcPr>
            <w:tcW w:w="1159" w:type="dxa"/>
            <w:tcBorders>
              <w:top w:val="nil"/>
              <w:left w:val="nil"/>
              <w:bottom w:val="single" w:sz="4" w:space="0" w:color="808080"/>
              <w:right w:val="single" w:sz="4" w:space="0" w:color="808080"/>
            </w:tcBorders>
            <w:shd w:val="clear" w:color="auto" w:fill="auto"/>
            <w:tcMar>
              <w:top w:w="57" w:type="dxa"/>
              <w:left w:w="57" w:type="dxa"/>
              <w:bottom w:w="57"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i/>
                <w:sz w:val="18"/>
                <w:szCs w:val="18"/>
              </w:rPr>
            </w:pPr>
            <w:r w:rsidRPr="00CC0673">
              <w:rPr>
                <w:rFonts w:ascii="Times New Roman" w:hAnsi="Times New Roman" w:cs="Times New Roman"/>
                <w:i/>
                <w:sz w:val="18"/>
                <w:szCs w:val="18"/>
              </w:rPr>
              <w:t>-2 563,2</w:t>
            </w:r>
          </w:p>
        </w:tc>
        <w:tc>
          <w:tcPr>
            <w:tcW w:w="986" w:type="dxa"/>
            <w:tcBorders>
              <w:top w:val="nil"/>
              <w:left w:val="nil"/>
              <w:bottom w:val="single" w:sz="4" w:space="0" w:color="808080"/>
              <w:right w:val="single" w:sz="4" w:space="0" w:color="808080"/>
            </w:tcBorders>
            <w:shd w:val="clear" w:color="auto" w:fill="auto"/>
            <w:noWrap/>
            <w:tcMar>
              <w:top w:w="57" w:type="dxa"/>
              <w:left w:w="57" w:type="dxa"/>
              <w:bottom w:w="57" w:type="dxa"/>
              <w:right w:w="57"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i/>
                <w:sz w:val="18"/>
                <w:szCs w:val="18"/>
              </w:rPr>
            </w:pPr>
            <w:r w:rsidRPr="00CC0673">
              <w:rPr>
                <w:rFonts w:ascii="Times New Roman" w:hAnsi="Times New Roman" w:cs="Times New Roman"/>
                <w:i/>
                <w:sz w:val="18"/>
                <w:szCs w:val="18"/>
              </w:rPr>
              <w:t>99,9%</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b/>
                <w:bCs/>
                <w:sz w:val="18"/>
                <w:szCs w:val="18"/>
              </w:rPr>
            </w:pPr>
            <w:r w:rsidRPr="00CC0673">
              <w:rPr>
                <w:rFonts w:ascii="Times New Roman" w:hAnsi="Times New Roman" w:cs="Times New Roman"/>
                <w:b/>
                <w:bCs/>
                <w:sz w:val="18"/>
                <w:szCs w:val="18"/>
              </w:rPr>
              <w:t>Поступления межбюджетных трансфертов из федерального бюджета, в т.ч.:</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b/>
                <w:bCs/>
                <w:sz w:val="18"/>
                <w:szCs w:val="18"/>
              </w:rPr>
            </w:pPr>
            <w:r w:rsidRPr="00CC0673">
              <w:rPr>
                <w:rFonts w:ascii="Times New Roman" w:hAnsi="Times New Roman" w:cs="Times New Roman"/>
                <w:b/>
                <w:bCs/>
                <w:sz w:val="18"/>
                <w:szCs w:val="18"/>
              </w:rPr>
              <w:t>5 301 545,3</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b/>
                <w:bCs/>
                <w:sz w:val="18"/>
                <w:szCs w:val="18"/>
              </w:rPr>
            </w:pPr>
            <w:r w:rsidRPr="00CC0673">
              <w:rPr>
                <w:rFonts w:ascii="Times New Roman" w:hAnsi="Times New Roman" w:cs="Times New Roman"/>
                <w:b/>
                <w:bCs/>
                <w:sz w:val="18"/>
                <w:szCs w:val="18"/>
              </w:rPr>
              <w:t>5 466 396,5</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b/>
                <w:bCs/>
                <w:sz w:val="18"/>
                <w:szCs w:val="18"/>
              </w:rPr>
            </w:pPr>
            <w:r w:rsidRPr="00CC0673">
              <w:rPr>
                <w:rFonts w:ascii="Times New Roman" w:hAnsi="Times New Roman" w:cs="Times New Roman"/>
                <w:b/>
                <w:bCs/>
                <w:sz w:val="18"/>
                <w:szCs w:val="18"/>
              </w:rPr>
              <w:t>164 851,2</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b/>
                <w:bCs/>
                <w:sz w:val="18"/>
                <w:szCs w:val="18"/>
              </w:rPr>
            </w:pPr>
            <w:r w:rsidRPr="00CC0673">
              <w:rPr>
                <w:rFonts w:ascii="Times New Roman" w:hAnsi="Times New Roman" w:cs="Times New Roman"/>
                <w:b/>
                <w:bCs/>
                <w:sz w:val="18"/>
                <w:szCs w:val="18"/>
              </w:rPr>
              <w:t>103,1%</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Субсидии бюджетам субъектов РФ на реализацию мероприятий по стимулированию программ развития жилищного строительства субъектов Российской Федерации (код доходов 20225021020000150) на финансирование основного мероприятия регионального проекта «Жилье» (код расходов 0409 231F150210 522)</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102 230,2</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267 081,5</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u w:val="single"/>
              </w:rPr>
            </w:pPr>
            <w:r w:rsidRPr="00CC0673">
              <w:rPr>
                <w:rFonts w:ascii="Times New Roman" w:hAnsi="Times New Roman" w:cs="Times New Roman"/>
                <w:sz w:val="18"/>
                <w:szCs w:val="18"/>
                <w:u w:val="single"/>
              </w:rPr>
              <w:t>164 851,3*</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261,3%</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Субсидии бюджетам субъектов Российской Федерации на развитие транспортной инфраструктуры на сельских территориях (код дохода 20225372020000150) на финансирование основного мероприятия подпрограммы «Создание и развитие инфраструктуры на сельских территориях» (код расходов 0409 27303</w:t>
            </w:r>
            <w:r w:rsidRPr="00CC0673">
              <w:rPr>
                <w:rFonts w:ascii="Times New Roman" w:hAnsi="Times New Roman" w:cs="Times New Roman"/>
                <w:sz w:val="18"/>
                <w:szCs w:val="18"/>
                <w:lang w:val="en-US"/>
              </w:rPr>
              <w:t>R</w:t>
            </w:r>
            <w:r w:rsidRPr="00CC0673">
              <w:rPr>
                <w:rFonts w:ascii="Times New Roman" w:hAnsi="Times New Roman" w:cs="Times New Roman"/>
                <w:sz w:val="18"/>
                <w:szCs w:val="18"/>
              </w:rPr>
              <w:t xml:space="preserve">3720414) </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40 350,3</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40 350,2</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-0,1</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99,99%</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r w:rsidRPr="00CC0673">
              <w:rPr>
                <w:rFonts w:ascii="Times New Roman" w:hAnsi="Times New Roman" w:cs="Times New Roman"/>
                <w:sz w:val="18"/>
                <w:szCs w:val="18"/>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(код доходов 20225394020000150) на финансирование регионального проекта «Региональная и местная дорожная сеть» (код расходов 0409 171</w:t>
            </w:r>
            <w:r w:rsidRPr="00CC0673">
              <w:rPr>
                <w:rFonts w:ascii="Times New Roman" w:hAnsi="Times New Roman" w:cs="Times New Roman"/>
                <w:sz w:val="18"/>
                <w:szCs w:val="18"/>
                <w:lang w:val="en-US"/>
              </w:rPr>
              <w:t>R</w:t>
            </w:r>
            <w:r w:rsidRPr="00CC0673">
              <w:rPr>
                <w:rFonts w:ascii="Times New Roman" w:hAnsi="Times New Roman" w:cs="Times New Roman"/>
                <w:sz w:val="18"/>
                <w:szCs w:val="18"/>
              </w:rPr>
              <w:t>153940243,244)</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1 464 896,1</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1 464 896,1</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0,0</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100,0%</w:t>
            </w:r>
          </w:p>
        </w:tc>
      </w:tr>
      <w:tr w:rsidR="00180C45" w:rsidRPr="00CC0673" w:rsidTr="001C662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sz w:val="18"/>
                <w:szCs w:val="18"/>
              </w:rPr>
            </w:pPr>
            <w:proofErr w:type="gramStart"/>
            <w:r w:rsidRPr="00CC0673">
              <w:rPr>
                <w:rFonts w:ascii="Times New Roman" w:hAnsi="Times New Roman" w:cs="Times New Roman"/>
                <w:sz w:val="18"/>
                <w:szCs w:val="18"/>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 (код доходов 20245784020000150), которые предусмотрены на финансирование дорожной деятельности в отношении автомобильных дорог общего пользования регионального или межмуниципального, местного значения (в сумме 1 162 610,0 тыс. рублей на код расходов 0409 1710357840243,244) и за счет средств резервного фонда</w:t>
            </w:r>
            <w:proofErr w:type="gramEnd"/>
            <w:r w:rsidRPr="00CC0673">
              <w:rPr>
                <w:rFonts w:ascii="Times New Roman" w:hAnsi="Times New Roman" w:cs="Times New Roman"/>
                <w:sz w:val="18"/>
                <w:szCs w:val="18"/>
              </w:rPr>
              <w:t xml:space="preserve"> (в сумме 2 531 458,7 тыс. рублей на код расходов 0409 171035784</w:t>
            </w:r>
            <w:r w:rsidRPr="00CC0673">
              <w:rPr>
                <w:rFonts w:ascii="Times New Roman" w:hAnsi="Times New Roman" w:cs="Times New Roman"/>
                <w:sz w:val="18"/>
                <w:szCs w:val="18"/>
                <w:lang w:val="en-US"/>
              </w:rPr>
              <w:t>F</w:t>
            </w:r>
            <w:r w:rsidRPr="00CC0673">
              <w:rPr>
                <w:rFonts w:ascii="Times New Roman" w:hAnsi="Times New Roman" w:cs="Times New Roman"/>
                <w:sz w:val="18"/>
                <w:szCs w:val="18"/>
              </w:rPr>
              <w:t>243)</w:t>
            </w:r>
          </w:p>
        </w:tc>
        <w:tc>
          <w:tcPr>
            <w:tcW w:w="1091" w:type="dxa"/>
            <w:tcBorders>
              <w:top w:val="nil"/>
              <w:left w:val="nil"/>
              <w:bottom w:val="single" w:sz="4" w:space="0" w:color="808080"/>
              <w:right w:val="single" w:sz="4" w:space="0" w:color="808080"/>
            </w:tcBorders>
            <w:shd w:val="clear" w:color="auto" w:fill="auto"/>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3 694 068,7</w:t>
            </w:r>
          </w:p>
        </w:tc>
        <w:tc>
          <w:tcPr>
            <w:tcW w:w="1134"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3 694 068,7</w:t>
            </w:r>
          </w:p>
        </w:tc>
        <w:tc>
          <w:tcPr>
            <w:tcW w:w="1159" w:type="dxa"/>
            <w:tcBorders>
              <w:top w:val="nil"/>
              <w:left w:val="nil"/>
              <w:bottom w:val="single" w:sz="4" w:space="0" w:color="808080"/>
              <w:right w:val="single" w:sz="4" w:space="0" w:color="808080"/>
            </w:tcBorders>
            <w:shd w:val="clear" w:color="auto" w:fill="auto"/>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0,0</w:t>
            </w:r>
          </w:p>
        </w:tc>
        <w:tc>
          <w:tcPr>
            <w:tcW w:w="986" w:type="dxa"/>
            <w:tcBorders>
              <w:top w:val="nil"/>
              <w:left w:val="nil"/>
              <w:bottom w:val="single" w:sz="4" w:space="0" w:color="808080"/>
              <w:right w:val="single" w:sz="4" w:space="0" w:color="808080"/>
            </w:tcBorders>
            <w:shd w:val="clear" w:color="auto" w:fill="auto"/>
            <w:noWrap/>
            <w:tcMar>
              <w:top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sz w:val="18"/>
                <w:szCs w:val="18"/>
              </w:rPr>
            </w:pPr>
            <w:r w:rsidRPr="00CC0673">
              <w:rPr>
                <w:rFonts w:ascii="Times New Roman" w:hAnsi="Times New Roman" w:cs="Times New Roman"/>
                <w:sz w:val="18"/>
                <w:szCs w:val="18"/>
              </w:rPr>
              <w:t>100,0%</w:t>
            </w:r>
          </w:p>
        </w:tc>
      </w:tr>
      <w:tr w:rsidR="00180C45" w:rsidRPr="00CC0673" w:rsidTr="00B64DA1">
        <w:trPr>
          <w:trHeight w:val="20"/>
        </w:trPr>
        <w:tc>
          <w:tcPr>
            <w:tcW w:w="11113" w:type="dxa"/>
            <w:tcBorders>
              <w:top w:val="nil"/>
              <w:left w:val="single" w:sz="4" w:space="0" w:color="808080"/>
              <w:bottom w:val="single" w:sz="4" w:space="0" w:color="808080"/>
              <w:right w:val="single" w:sz="4" w:space="0" w:color="808080"/>
            </w:tcBorders>
            <w:shd w:val="clear" w:color="auto" w:fill="auto"/>
            <w:tcMar>
              <w:top w:w="28" w:type="dxa"/>
              <w:left w:w="57" w:type="dxa"/>
              <w:right w:w="57" w:type="dxa"/>
            </w:tcMar>
            <w:hideMark/>
          </w:tcPr>
          <w:p w:rsidR="00180C45" w:rsidRPr="00CC0673" w:rsidRDefault="00180C45" w:rsidP="00C12821">
            <w:pPr>
              <w:widowControl w:val="0"/>
              <w:suppressAutoHyphens/>
              <w:spacing w:after="0"/>
              <w:ind w:firstLine="0"/>
              <w:rPr>
                <w:rFonts w:ascii="Times New Roman" w:hAnsi="Times New Roman" w:cs="Times New Roman"/>
                <w:b/>
                <w:bCs/>
                <w:sz w:val="18"/>
                <w:szCs w:val="18"/>
              </w:rPr>
            </w:pPr>
            <w:r w:rsidRPr="00CC0673">
              <w:rPr>
                <w:rFonts w:ascii="Times New Roman" w:hAnsi="Times New Roman" w:cs="Times New Roman"/>
                <w:b/>
                <w:bCs/>
                <w:sz w:val="18"/>
                <w:szCs w:val="18"/>
              </w:rPr>
              <w:t xml:space="preserve">Объем </w:t>
            </w:r>
            <w:r>
              <w:rPr>
                <w:rFonts w:ascii="Times New Roman" w:hAnsi="Times New Roman" w:cs="Times New Roman"/>
                <w:b/>
                <w:bCs/>
                <w:sz w:val="18"/>
                <w:szCs w:val="18"/>
              </w:rPr>
              <w:t>бюджетных назначений</w:t>
            </w:r>
            <w:r w:rsidRPr="00CC0673">
              <w:rPr>
                <w:rFonts w:ascii="Times New Roman" w:hAnsi="Times New Roman" w:cs="Times New Roman"/>
                <w:b/>
                <w:bCs/>
                <w:sz w:val="18"/>
                <w:szCs w:val="18"/>
              </w:rPr>
              <w:t xml:space="preserve">, определяющих параметры </w:t>
            </w:r>
            <w:r>
              <w:rPr>
                <w:rFonts w:ascii="Times New Roman" w:hAnsi="Times New Roman" w:cs="Times New Roman"/>
                <w:b/>
                <w:bCs/>
                <w:sz w:val="18"/>
                <w:szCs w:val="18"/>
              </w:rPr>
              <w:t>Д</w:t>
            </w:r>
            <w:r w:rsidRPr="00CC0673">
              <w:rPr>
                <w:rFonts w:ascii="Times New Roman" w:hAnsi="Times New Roman" w:cs="Times New Roman"/>
                <w:b/>
                <w:bCs/>
                <w:sz w:val="18"/>
                <w:szCs w:val="18"/>
              </w:rPr>
              <w:t>орожного фонда</w:t>
            </w:r>
            <w:r>
              <w:rPr>
                <w:rFonts w:ascii="Times New Roman" w:hAnsi="Times New Roman" w:cs="Times New Roman"/>
                <w:b/>
                <w:bCs/>
                <w:sz w:val="18"/>
                <w:szCs w:val="18"/>
              </w:rPr>
              <w:t xml:space="preserve"> (собственные доходы, межбюджетные трансферты</w:t>
            </w:r>
            <w:r w:rsidRPr="00CC0673">
              <w:rPr>
                <w:rFonts w:ascii="Times New Roman" w:hAnsi="Times New Roman" w:cs="Times New Roman"/>
                <w:b/>
                <w:bCs/>
                <w:sz w:val="18"/>
                <w:szCs w:val="18"/>
              </w:rPr>
              <w:t>)</w:t>
            </w:r>
          </w:p>
        </w:tc>
        <w:tc>
          <w:tcPr>
            <w:tcW w:w="1091" w:type="dxa"/>
            <w:tcBorders>
              <w:top w:val="nil"/>
              <w:left w:val="nil"/>
              <w:bottom w:val="single" w:sz="4" w:space="0" w:color="808080"/>
              <w:right w:val="single" w:sz="4" w:space="0" w:color="808080"/>
            </w:tcBorders>
            <w:shd w:val="clear" w:color="auto" w:fill="auto"/>
            <w:noWrap/>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b/>
                <w:bCs/>
                <w:sz w:val="18"/>
                <w:szCs w:val="18"/>
              </w:rPr>
            </w:pPr>
            <w:r w:rsidRPr="00CC0673">
              <w:rPr>
                <w:rFonts w:ascii="Times New Roman" w:hAnsi="Times New Roman" w:cs="Times New Roman"/>
                <w:b/>
                <w:bCs/>
                <w:sz w:val="18"/>
                <w:szCs w:val="18"/>
              </w:rPr>
              <w:t>18 202 038,3</w:t>
            </w:r>
          </w:p>
        </w:tc>
        <w:tc>
          <w:tcPr>
            <w:tcW w:w="1134" w:type="dxa"/>
            <w:tcBorders>
              <w:top w:val="nil"/>
              <w:left w:val="nil"/>
              <w:bottom w:val="single" w:sz="4" w:space="0" w:color="808080"/>
              <w:right w:val="single" w:sz="4" w:space="0" w:color="808080"/>
            </w:tcBorders>
            <w:shd w:val="clear" w:color="auto" w:fill="auto"/>
            <w:noWrap/>
            <w:tcMar>
              <w:top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b/>
                <w:bCs/>
                <w:sz w:val="18"/>
                <w:szCs w:val="18"/>
              </w:rPr>
            </w:pPr>
            <w:r w:rsidRPr="00CC0673">
              <w:rPr>
                <w:rFonts w:ascii="Times New Roman" w:hAnsi="Times New Roman" w:cs="Times New Roman"/>
                <w:b/>
                <w:bCs/>
                <w:sz w:val="18"/>
                <w:szCs w:val="18"/>
              </w:rPr>
              <w:t>18 689 380,8</w:t>
            </w:r>
          </w:p>
        </w:tc>
        <w:tc>
          <w:tcPr>
            <w:tcW w:w="1159" w:type="dxa"/>
            <w:tcBorders>
              <w:top w:val="nil"/>
              <w:left w:val="nil"/>
              <w:bottom w:val="single" w:sz="4" w:space="0" w:color="808080"/>
              <w:right w:val="single" w:sz="4" w:space="0" w:color="808080"/>
            </w:tcBorders>
            <w:shd w:val="clear" w:color="auto" w:fill="auto"/>
            <w:noWrap/>
            <w:tcMar>
              <w:top w:w="28" w:type="dxa"/>
              <w:left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b/>
                <w:bCs/>
                <w:sz w:val="18"/>
                <w:szCs w:val="18"/>
              </w:rPr>
            </w:pPr>
            <w:r w:rsidRPr="00CC0673">
              <w:rPr>
                <w:rFonts w:ascii="Times New Roman" w:hAnsi="Times New Roman" w:cs="Times New Roman"/>
                <w:b/>
                <w:bCs/>
                <w:sz w:val="18"/>
                <w:szCs w:val="18"/>
              </w:rPr>
              <w:t>487 342,5</w:t>
            </w:r>
          </w:p>
        </w:tc>
        <w:tc>
          <w:tcPr>
            <w:tcW w:w="986" w:type="dxa"/>
            <w:tcBorders>
              <w:top w:val="nil"/>
              <w:left w:val="nil"/>
              <w:bottom w:val="single" w:sz="4" w:space="0" w:color="808080"/>
              <w:right w:val="single" w:sz="4" w:space="0" w:color="808080"/>
            </w:tcBorders>
            <w:shd w:val="clear" w:color="auto" w:fill="auto"/>
            <w:noWrap/>
            <w:tcMar>
              <w:top w:w="28" w:type="dxa"/>
              <w:right w:w="28" w:type="dxa"/>
            </w:tcMar>
            <w:vAlign w:val="bottom"/>
            <w:hideMark/>
          </w:tcPr>
          <w:p w:rsidR="00180C45" w:rsidRPr="00CC0673" w:rsidRDefault="00180C45" w:rsidP="001C6621">
            <w:pPr>
              <w:widowControl w:val="0"/>
              <w:suppressAutoHyphens/>
              <w:spacing w:after="0"/>
              <w:ind w:firstLine="0"/>
              <w:jc w:val="center"/>
              <w:rPr>
                <w:rFonts w:ascii="Times New Roman" w:hAnsi="Times New Roman" w:cs="Times New Roman"/>
                <w:b/>
                <w:bCs/>
                <w:sz w:val="18"/>
                <w:szCs w:val="18"/>
              </w:rPr>
            </w:pPr>
            <w:r w:rsidRPr="00CC0673">
              <w:rPr>
                <w:rFonts w:ascii="Times New Roman" w:hAnsi="Times New Roman" w:cs="Times New Roman"/>
                <w:b/>
                <w:bCs/>
                <w:sz w:val="18"/>
                <w:szCs w:val="18"/>
              </w:rPr>
              <w:t>102,7%</w:t>
            </w:r>
          </w:p>
        </w:tc>
      </w:tr>
    </w:tbl>
    <w:p w:rsidR="00E46D8E" w:rsidRDefault="00E67015"/>
    <w:sectPr w:rsidR="00E46D8E" w:rsidSect="00E67015">
      <w:headerReference w:type="default" r:id="rId6"/>
      <w:pgSz w:w="16838" w:h="11906" w:orient="landscape"/>
      <w:pgMar w:top="1701" w:right="851" w:bottom="851"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EE2" w:rsidRDefault="006B5EE2" w:rsidP="006B5EE2">
      <w:pPr>
        <w:spacing w:after="0"/>
      </w:pPr>
      <w:r>
        <w:separator/>
      </w:r>
    </w:p>
  </w:endnote>
  <w:endnote w:type="continuationSeparator" w:id="1">
    <w:p w:rsidR="006B5EE2" w:rsidRDefault="006B5EE2" w:rsidP="006B5EE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EE2" w:rsidRDefault="006B5EE2" w:rsidP="006B5EE2">
      <w:pPr>
        <w:spacing w:after="0"/>
      </w:pPr>
      <w:r>
        <w:separator/>
      </w:r>
    </w:p>
  </w:footnote>
  <w:footnote w:type="continuationSeparator" w:id="1">
    <w:p w:rsidR="006B5EE2" w:rsidRDefault="006B5EE2" w:rsidP="006B5EE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1594"/>
      <w:docPartObj>
        <w:docPartGallery w:val="Page Numbers (Top of Page)"/>
        <w:docPartUnique/>
      </w:docPartObj>
    </w:sdtPr>
    <w:sdtContent>
      <w:p w:rsidR="006B5EE2" w:rsidRDefault="00506CC5">
        <w:pPr>
          <w:pStyle w:val="a4"/>
          <w:jc w:val="center"/>
        </w:pPr>
        <w:fldSimple w:instr=" PAGE   \* MERGEFORMAT ">
          <w:r w:rsidR="00E67015">
            <w:rPr>
              <w:noProof/>
            </w:rPr>
            <w:t>2</w:t>
          </w:r>
        </w:fldSimple>
      </w:p>
    </w:sdtContent>
  </w:sdt>
  <w:p w:rsidR="006B5EE2" w:rsidRDefault="006B5EE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86FB8"/>
    <w:rsid w:val="000A7665"/>
    <w:rsid w:val="00146219"/>
    <w:rsid w:val="00180C45"/>
    <w:rsid w:val="001947EE"/>
    <w:rsid w:val="001C6621"/>
    <w:rsid w:val="00304AD1"/>
    <w:rsid w:val="00486FB8"/>
    <w:rsid w:val="00506CC5"/>
    <w:rsid w:val="006B5EE2"/>
    <w:rsid w:val="00700CAD"/>
    <w:rsid w:val="008B5F5B"/>
    <w:rsid w:val="008E5C74"/>
    <w:rsid w:val="00B41FF5"/>
    <w:rsid w:val="00B64DA1"/>
    <w:rsid w:val="00D54C7C"/>
    <w:rsid w:val="00DB42FA"/>
    <w:rsid w:val="00E4691C"/>
    <w:rsid w:val="00E67015"/>
    <w:rsid w:val="00F20D0C"/>
    <w:rsid w:val="00F81873"/>
    <w:rsid w:val="00F823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FB8"/>
    <w:pPr>
      <w:spacing w:line="240" w:lineRule="auto"/>
      <w:ind w:firstLine="567"/>
      <w:jc w:val="both"/>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86FB8"/>
    <w:pPr>
      <w:spacing w:before="100" w:beforeAutospacing="1" w:after="100" w:afterAutospacing="1"/>
      <w:ind w:firstLine="0"/>
      <w:jc w:val="left"/>
    </w:pPr>
    <w:rPr>
      <w:rFonts w:ascii="Times New Roman" w:eastAsia="Times New Roman" w:hAnsi="Times New Roman" w:cs="Times New Roman"/>
      <w:sz w:val="24"/>
      <w:szCs w:val="24"/>
    </w:rPr>
  </w:style>
  <w:style w:type="paragraph" w:styleId="a4">
    <w:name w:val="header"/>
    <w:basedOn w:val="a"/>
    <w:link w:val="a5"/>
    <w:uiPriority w:val="99"/>
    <w:unhideWhenUsed/>
    <w:rsid w:val="006B5EE2"/>
    <w:pPr>
      <w:tabs>
        <w:tab w:val="center" w:pos="4677"/>
        <w:tab w:val="right" w:pos="9355"/>
      </w:tabs>
      <w:spacing w:after="0"/>
    </w:pPr>
  </w:style>
  <w:style w:type="character" w:customStyle="1" w:styleId="a5">
    <w:name w:val="Верхний колонтитул Знак"/>
    <w:basedOn w:val="a0"/>
    <w:link w:val="a4"/>
    <w:uiPriority w:val="99"/>
    <w:rsid w:val="006B5EE2"/>
    <w:rPr>
      <w:rFonts w:eastAsiaTheme="minorEastAsia"/>
      <w:lang w:eastAsia="ru-RU"/>
    </w:rPr>
  </w:style>
  <w:style w:type="paragraph" w:styleId="a6">
    <w:name w:val="footer"/>
    <w:basedOn w:val="a"/>
    <w:link w:val="a7"/>
    <w:uiPriority w:val="99"/>
    <w:semiHidden/>
    <w:unhideWhenUsed/>
    <w:rsid w:val="006B5EE2"/>
    <w:pPr>
      <w:tabs>
        <w:tab w:val="center" w:pos="4677"/>
        <w:tab w:val="right" w:pos="9355"/>
      </w:tabs>
      <w:spacing w:after="0"/>
    </w:pPr>
  </w:style>
  <w:style w:type="character" w:customStyle="1" w:styleId="a7">
    <w:name w:val="Нижний колонтитул Знак"/>
    <w:basedOn w:val="a0"/>
    <w:link w:val="a6"/>
    <w:uiPriority w:val="99"/>
    <w:semiHidden/>
    <w:rsid w:val="006B5EE2"/>
    <w:rPr>
      <w:rFonts w:eastAsiaTheme="minorEastAsia"/>
      <w:lang w:eastAsia="ru-RU"/>
    </w:rPr>
  </w:style>
  <w:style w:type="paragraph" w:styleId="a8">
    <w:name w:val="Balloon Text"/>
    <w:basedOn w:val="a"/>
    <w:link w:val="a9"/>
    <w:uiPriority w:val="99"/>
    <w:semiHidden/>
    <w:unhideWhenUsed/>
    <w:rsid w:val="00B64DA1"/>
    <w:pPr>
      <w:spacing w:after="0"/>
    </w:pPr>
    <w:rPr>
      <w:rFonts w:ascii="Tahoma" w:hAnsi="Tahoma" w:cs="Tahoma"/>
      <w:sz w:val="16"/>
      <w:szCs w:val="16"/>
    </w:rPr>
  </w:style>
  <w:style w:type="character" w:customStyle="1" w:styleId="a9">
    <w:name w:val="Текст выноски Знак"/>
    <w:basedOn w:val="a0"/>
    <w:link w:val="a8"/>
    <w:uiPriority w:val="99"/>
    <w:semiHidden/>
    <w:rsid w:val="00B64DA1"/>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1167</Words>
  <Characters>6658</Characters>
  <Application>Microsoft Office Word</Application>
  <DocSecurity>0</DocSecurity>
  <Lines>55</Lines>
  <Paragraphs>15</Paragraphs>
  <ScaleCrop>false</ScaleCrop>
  <Company/>
  <LinksUpToDate>false</LinksUpToDate>
  <CharactersWithSpaces>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БыховецЕВ</dc:creator>
  <cp:lastModifiedBy>БыховецЕВ</cp:lastModifiedBy>
  <cp:revision>6</cp:revision>
  <cp:lastPrinted>2023-05-31T05:26:00Z</cp:lastPrinted>
  <dcterms:created xsi:type="dcterms:W3CDTF">2023-05-28T10:09:00Z</dcterms:created>
  <dcterms:modified xsi:type="dcterms:W3CDTF">2023-05-31T05:41:00Z</dcterms:modified>
</cp:coreProperties>
</file>